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3D206">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2024年华城幼儿园门卫及瓦屋面改造工程</w:t>
      </w:r>
    </w:p>
    <w:p w14:paraId="477F27E2">
      <w:pPr>
        <w:jc w:val="center"/>
        <w:rPr>
          <w:rFonts w:hint="eastAsia" w:cs="宋体" w:asciiTheme="minorEastAsia" w:hAnsiTheme="minorEastAsia"/>
          <w:sz w:val="24"/>
          <w:lang w:eastAsia="zh-CN"/>
        </w:rPr>
      </w:pPr>
      <w:r>
        <w:rPr>
          <w:rFonts w:hint="eastAsia" w:ascii="黑体" w:hAnsi="黑体" w:eastAsia="黑体" w:cs="黑体"/>
          <w:b/>
          <w:bCs/>
          <w:sz w:val="32"/>
          <w:szCs w:val="32"/>
        </w:rPr>
        <w:t>编制说明</w:t>
      </w:r>
    </w:p>
    <w:p w14:paraId="248DE139">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一</w:t>
      </w:r>
      <w:r>
        <w:rPr>
          <w:rFonts w:hint="eastAsia" w:cs="宋体" w:asciiTheme="minorEastAsia" w:hAnsiTheme="minorEastAsia"/>
          <w:b/>
          <w:sz w:val="24"/>
        </w:rPr>
        <w:t>、编制依据</w:t>
      </w:r>
    </w:p>
    <w:p w14:paraId="3CBC5037">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1、《建设工程工程量清单计价规范》GB50500-2013；</w:t>
      </w:r>
    </w:p>
    <w:p w14:paraId="38FEC9A9">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2、《江苏省建筑与装饰工程计价定额》2014版；</w:t>
      </w:r>
    </w:p>
    <w:p w14:paraId="1944F31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3、《江苏省安装工程计价定额》2014版；</w:t>
      </w:r>
    </w:p>
    <w:p w14:paraId="195B869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4、《江苏省2014机械台班定额》；</w:t>
      </w:r>
    </w:p>
    <w:p w14:paraId="3D3F5E96">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5、《房屋建筑与装饰工程工程量计算规范》GB50854-2013；</w:t>
      </w:r>
    </w:p>
    <w:p w14:paraId="256D302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6、《通用安装工程工程量计算规范》GB50856-2013；</w:t>
      </w:r>
    </w:p>
    <w:p w14:paraId="35F504C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7、《市政工程工程量计算规范》（GB50857-2013）；</w:t>
      </w:r>
    </w:p>
    <w:p w14:paraId="5C83188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8、《江苏省市政工程计价定额》（2014年）；</w:t>
      </w:r>
    </w:p>
    <w:p w14:paraId="5F568EC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9、《园林绿化工程工程量计算规范》（GB50858-2013）；</w:t>
      </w:r>
    </w:p>
    <w:p w14:paraId="022BDA8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cs="宋体" w:asciiTheme="minorEastAsia" w:hAnsiTheme="minorEastAsia"/>
          <w:color w:val="000000" w:themeColor="text1"/>
          <w:sz w:val="24"/>
        </w:rPr>
        <w:t>0</w:t>
      </w:r>
      <w:r>
        <w:rPr>
          <w:rFonts w:hint="eastAsia" w:cs="宋体" w:asciiTheme="minorEastAsia" w:hAnsiTheme="minorEastAsia"/>
          <w:color w:val="000000" w:themeColor="text1"/>
          <w:sz w:val="24"/>
        </w:rPr>
        <w:t>、《江苏省仿古建筑与园林工程计价表》（2007江苏省园林定额）；</w:t>
      </w:r>
    </w:p>
    <w:p w14:paraId="27BD6709">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11</w:t>
      </w:r>
      <w:r>
        <w:rPr>
          <w:rFonts w:hint="eastAsia" w:cs="宋体" w:asciiTheme="minorEastAsia" w:hAnsiTheme="minorEastAsia"/>
          <w:color w:val="000000" w:themeColor="text1"/>
          <w:sz w:val="24"/>
        </w:rPr>
        <w:t>、《江苏省建设工程费用定额》（</w:t>
      </w:r>
      <w:r>
        <w:rPr>
          <w:rFonts w:cs="宋体" w:asciiTheme="minorEastAsia" w:hAnsiTheme="minorEastAsia"/>
          <w:color w:val="000000" w:themeColor="text1"/>
          <w:sz w:val="24"/>
        </w:rPr>
        <w:t>20</w:t>
      </w:r>
      <w:r>
        <w:rPr>
          <w:rFonts w:hint="eastAsia" w:cs="宋体" w:asciiTheme="minorEastAsia" w:hAnsiTheme="minorEastAsia"/>
          <w:color w:val="000000" w:themeColor="text1"/>
          <w:sz w:val="24"/>
        </w:rPr>
        <w:t>14版)；</w:t>
      </w:r>
    </w:p>
    <w:p w14:paraId="72BB5B9C">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12</w:t>
      </w:r>
      <w:r>
        <w:rPr>
          <w:rFonts w:hint="eastAsia" w:cs="宋体" w:asciiTheme="minorEastAsia" w:hAnsiTheme="minorEastAsia"/>
          <w:color w:val="000000" w:themeColor="text1"/>
          <w:sz w:val="24"/>
        </w:rPr>
        <w:t>、苏建价[2014]448号、苏建价〔2016〕154号、常建〔2016〕94号、常建(2014)279号、常建2017（103）、常建[2018]26号、苏建函价[2019]178号文、常建[2019]1号文等现行计价文件及规定；</w:t>
      </w:r>
    </w:p>
    <w:p w14:paraId="30ABB95D">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13</w:t>
      </w:r>
      <w:r>
        <w:rPr>
          <w:rFonts w:hint="eastAsia" w:cs="宋体" w:asciiTheme="minorEastAsia" w:hAnsiTheme="minorEastAsia"/>
          <w:color w:val="000000" w:themeColor="text1"/>
          <w:sz w:val="24"/>
        </w:rPr>
        <w:t>、根据现场踏勘、测量、相关设计施工规范，编制清单；</w:t>
      </w:r>
    </w:p>
    <w:p w14:paraId="6A950266">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二</w:t>
      </w:r>
      <w:r>
        <w:rPr>
          <w:rFonts w:hint="eastAsia" w:cs="宋体" w:asciiTheme="minorEastAsia" w:hAnsiTheme="minorEastAsia"/>
          <w:b/>
          <w:sz w:val="24"/>
        </w:rPr>
        <w:t>、编制范围</w:t>
      </w:r>
    </w:p>
    <w:p w14:paraId="4C143691">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asciiTheme="minorEastAsia" w:hAnsiTheme="minorEastAsia"/>
          <w:sz w:val="24"/>
        </w:rPr>
      </w:pPr>
      <w:r>
        <w:rPr>
          <w:rFonts w:hint="eastAsia" w:asciiTheme="minorEastAsia" w:hAnsiTheme="minorEastAsia"/>
          <w:sz w:val="24"/>
        </w:rPr>
        <w:t>工程量清单范围内的全部工程</w:t>
      </w:r>
      <w:r>
        <w:rPr>
          <w:rFonts w:hint="eastAsia" w:asciiTheme="minorEastAsia" w:hAnsiTheme="minorEastAsia"/>
          <w:sz w:val="24"/>
          <w:lang w:eastAsia="zh-CN"/>
        </w:rPr>
        <w:t>。</w:t>
      </w:r>
    </w:p>
    <w:p w14:paraId="288CB21E">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三</w:t>
      </w:r>
      <w:r>
        <w:rPr>
          <w:rFonts w:hint="eastAsia" w:cs="宋体" w:asciiTheme="minorEastAsia" w:hAnsiTheme="minorEastAsia"/>
          <w:b/>
          <w:sz w:val="24"/>
        </w:rPr>
        <w:t>、编制说明</w:t>
      </w:r>
    </w:p>
    <w:p w14:paraId="6B918B95">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asciiTheme="minorEastAsia" w:hAnsiTheme="minorEastAsia"/>
          <w:b/>
          <w:bCs/>
          <w:sz w:val="24"/>
        </w:rPr>
        <w:t>（一）、通用编制说明</w:t>
      </w:r>
    </w:p>
    <w:p w14:paraId="4A193A85">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color w:val="000000" w:themeColor="text1"/>
          <w:sz w:val="24"/>
        </w:rPr>
        <w:t>1.工程类别：</w:t>
      </w:r>
      <w:r>
        <w:rPr>
          <w:rFonts w:hint="eastAsia" w:cs="宋体" w:asciiTheme="minorEastAsia" w:hAnsiTheme="minorEastAsia"/>
          <w:sz w:val="24"/>
          <w:lang w:val="en-US" w:eastAsia="zh-CN"/>
        </w:rPr>
        <w:t>本工程按修缮</w:t>
      </w:r>
      <w:r>
        <w:rPr>
          <w:rFonts w:hint="eastAsia" w:cs="宋体" w:asciiTheme="minorEastAsia" w:hAnsiTheme="minorEastAsia"/>
          <w:sz w:val="24"/>
        </w:rPr>
        <w:t>工程取费；</w:t>
      </w:r>
      <w:r>
        <w:rPr>
          <w:rFonts w:cs="宋体" w:asciiTheme="minorEastAsia" w:hAnsiTheme="minorEastAsia"/>
          <w:sz w:val="24"/>
        </w:rPr>
        <w:t xml:space="preserve"> </w:t>
      </w:r>
    </w:p>
    <w:p w14:paraId="1B5EA96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w:t>
      </w:r>
      <w:r>
        <w:rPr>
          <w:rFonts w:hint="eastAsia" w:cs="宋体" w:asciiTheme="minorEastAsia" w:hAnsiTheme="minorEastAsia"/>
          <w:color w:val="auto"/>
          <w:sz w:val="24"/>
        </w:rPr>
        <w:t>人工工资按苏建函价[202</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83</w:t>
      </w:r>
      <w:r>
        <w:rPr>
          <w:rFonts w:hint="eastAsia" w:cs="宋体" w:asciiTheme="minorEastAsia" w:hAnsiTheme="minorEastAsia"/>
          <w:color w:val="auto"/>
          <w:sz w:val="24"/>
        </w:rPr>
        <w:t>号文计取。</w:t>
      </w:r>
    </w:p>
    <w:p w14:paraId="6942818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3.材料价格：执行202</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年</w:t>
      </w:r>
      <w:r>
        <w:rPr>
          <w:rFonts w:hint="eastAsia" w:cs="宋体" w:asciiTheme="minorEastAsia" w:hAnsiTheme="minorEastAsia"/>
          <w:color w:val="000000" w:themeColor="text1"/>
          <w:sz w:val="24"/>
          <w:lang w:val="en-US" w:eastAsia="zh-CN"/>
        </w:rPr>
        <w:t>6</w:t>
      </w:r>
      <w:r>
        <w:rPr>
          <w:rFonts w:hint="eastAsia" w:cs="宋体" w:asciiTheme="minorEastAsia" w:hAnsiTheme="minorEastAsia"/>
          <w:color w:val="000000" w:themeColor="text1"/>
          <w:sz w:val="24"/>
        </w:rPr>
        <w:t>月《常州工程造价信息》中的建筑(或安装)材料除税价，本月未提供的逐月前推，信息价无提供价格的按市场价询价计入。</w:t>
      </w:r>
    </w:p>
    <w:p w14:paraId="4DFE51D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4.凡本清单内容中明确的，按清单的要求编制投标报价；本清单未作说明的，按上述规范、文件和要求编制投标报价。</w:t>
      </w:r>
    </w:p>
    <w:p w14:paraId="0C0EBF2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w:t>
      </w:r>
      <w:r>
        <w:rPr>
          <w:rFonts w:cs="宋体" w:asciiTheme="minorEastAsia" w:hAnsiTheme="minorEastAsia"/>
          <w:color w:val="000000" w:themeColor="text1"/>
          <w:sz w:val="24"/>
        </w:rPr>
        <w:t>金额（价格）均应以人民币表示</w:t>
      </w:r>
      <w:r>
        <w:rPr>
          <w:rFonts w:hint="eastAsia" w:cs="宋体" w:asciiTheme="minorEastAsia" w:hAnsiTheme="minorEastAsia"/>
          <w:color w:val="000000" w:themeColor="text1"/>
          <w:sz w:val="24"/>
        </w:rPr>
        <w:t>。</w:t>
      </w:r>
    </w:p>
    <w:p w14:paraId="43E9965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w:t>
      </w:r>
      <w:r>
        <w:rPr>
          <w:rFonts w:cs="宋体" w:asciiTheme="minorEastAsia" w:hAnsiTheme="minorEastAsia"/>
          <w:color w:val="000000" w:themeColor="text1"/>
          <w:sz w:val="24"/>
        </w:rPr>
        <w:t>工程量清单及其计价格式中的任何内容不得随意删除或涂改</w:t>
      </w:r>
      <w:r>
        <w:rPr>
          <w:rFonts w:hint="eastAsia" w:cs="宋体" w:asciiTheme="minorEastAsia" w:hAnsiTheme="minorEastAsia"/>
          <w:color w:val="000000" w:themeColor="text1"/>
          <w:sz w:val="24"/>
        </w:rPr>
        <w:t>。</w:t>
      </w:r>
    </w:p>
    <w:p w14:paraId="6F02A076">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7.</w:t>
      </w:r>
      <w:r>
        <w:rPr>
          <w:rFonts w:cs="宋体" w:asciiTheme="minorEastAsia" w:hAnsiTheme="minorEastAsia"/>
          <w:color w:val="000000" w:themeColor="text1"/>
          <w:sz w:val="24"/>
        </w:rPr>
        <w:t>工程量清单计价格式中列明的所有需要填报的单价和合价，投标人均应填报，未填报的单价和合价，视为此项费用已包含在工程量清单的其他单价和合价中</w:t>
      </w:r>
      <w:r>
        <w:rPr>
          <w:rFonts w:hint="eastAsia" w:cs="宋体" w:asciiTheme="minorEastAsia" w:hAnsiTheme="minorEastAsia"/>
          <w:color w:val="000000" w:themeColor="text1"/>
          <w:sz w:val="24"/>
        </w:rPr>
        <w:t>。</w:t>
      </w:r>
    </w:p>
    <w:p w14:paraId="5B9793A0">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highlight w:val="none"/>
        </w:rPr>
      </w:pPr>
      <w:r>
        <w:rPr>
          <w:rFonts w:hint="eastAsia" w:cs="宋体" w:asciiTheme="minorEastAsia" w:hAnsiTheme="minorEastAsia"/>
          <w:color w:val="000000" w:themeColor="text1"/>
          <w:sz w:val="24"/>
          <w:lang w:val="en-US" w:eastAsia="zh-CN"/>
        </w:rPr>
        <w:t>8</w:t>
      </w:r>
      <w:r>
        <w:rPr>
          <w:rFonts w:hint="eastAsia" w:cs="宋体" w:asciiTheme="minorEastAsia" w:hAnsiTheme="minorEastAsia"/>
          <w:color w:val="000000" w:themeColor="text1"/>
          <w:sz w:val="24"/>
        </w:rPr>
        <w:t>.措施项目清单中的现场安全文明施工费为不可竞争费，</w:t>
      </w:r>
      <w:r>
        <w:rPr>
          <w:rFonts w:hint="eastAsia" w:cs="宋体" w:asciiTheme="minorEastAsia" w:hAnsiTheme="minorEastAsia"/>
          <w:color w:val="000000" w:themeColor="text1"/>
          <w:sz w:val="24"/>
          <w:highlight w:val="none"/>
        </w:rPr>
        <w:t>含基本费、扬尘污染防治增加费，投标报价时按清单表中的费率计取不得调整。</w:t>
      </w:r>
    </w:p>
    <w:p w14:paraId="7FE288C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9</w:t>
      </w:r>
      <w:r>
        <w:rPr>
          <w:rFonts w:hint="eastAsia" w:cs="宋体" w:asciiTheme="minorEastAsia" w:hAnsiTheme="minorEastAsia"/>
          <w:color w:val="000000" w:themeColor="text1"/>
          <w:sz w:val="24"/>
        </w:rPr>
        <w:t>.根据项目特点，本工程在单位工程的其他项目清单中设置了暂列金额项目，为不可竞争费，投标报价时不得调整。</w:t>
      </w:r>
    </w:p>
    <w:p w14:paraId="76A43BC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0</w:t>
      </w:r>
      <w:r>
        <w:rPr>
          <w:rFonts w:hint="eastAsia" w:cs="宋体" w:asciiTheme="minorEastAsia" w:hAnsiTheme="minorEastAsia"/>
          <w:color w:val="000000" w:themeColor="text1"/>
          <w:sz w:val="24"/>
        </w:rPr>
        <w:t>.规费、税金项目清单中所列费用的费率均为不可竞争费率，投标报价时不得调整。</w:t>
      </w:r>
    </w:p>
    <w:p w14:paraId="6A2F490D">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1</w:t>
      </w:r>
      <w:r>
        <w:rPr>
          <w:rFonts w:hint="eastAsia" w:cs="宋体" w:asciiTheme="minorEastAsia" w:hAnsiTheme="minorEastAsia"/>
          <w:color w:val="000000" w:themeColor="text1"/>
          <w:sz w:val="24"/>
        </w:rPr>
        <w:t>.本工程施工所需水、电等由承包人负责，相关费用在投标报价中考虑。</w:t>
      </w:r>
    </w:p>
    <w:p w14:paraId="7C34F31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12</w:t>
      </w:r>
      <w:r>
        <w:rPr>
          <w:rFonts w:hint="eastAsia" w:cs="宋体" w:asciiTheme="minorEastAsia" w:hAnsiTheme="minorEastAsia"/>
          <w:color w:val="000000" w:themeColor="text1"/>
          <w:sz w:val="24"/>
        </w:rPr>
        <w:t>.本工程计税方法为一般计税。</w:t>
      </w:r>
    </w:p>
    <w:p w14:paraId="3676B6C5">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Theme="minorEastAsia" w:hAnsiTheme="minorEastAsia"/>
          <w:sz w:val="24"/>
          <w:lang w:val="en-US" w:eastAsia="zh-CN"/>
        </w:rPr>
      </w:pPr>
      <w:r>
        <w:rPr>
          <w:rFonts w:hint="eastAsia" w:cs="宋体" w:asciiTheme="minorEastAsia" w:hAnsiTheme="minorEastAsia"/>
          <w:color w:val="000000" w:themeColor="text1"/>
          <w:sz w:val="24"/>
          <w:lang w:val="en-US" w:eastAsia="zh-CN"/>
        </w:rPr>
        <w:t>13.本工程无设计图纸，要求投标单位自行现场踏勘</w:t>
      </w:r>
      <w:r>
        <w:rPr>
          <w:rFonts w:hint="eastAsia" w:asciiTheme="minorEastAsia" w:hAnsiTheme="minorEastAsia"/>
          <w:sz w:val="24"/>
          <w:lang w:val="en-US" w:eastAsia="zh-CN"/>
        </w:rPr>
        <w:t>。</w:t>
      </w:r>
    </w:p>
    <w:p w14:paraId="66CE9B5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default" w:asciiTheme="minorEastAsia" w:hAnsiTheme="minorEastAsia"/>
          <w:sz w:val="24"/>
          <w:lang w:val="en-US" w:eastAsia="zh-CN"/>
        </w:rPr>
      </w:pPr>
      <w:r>
        <w:rPr>
          <w:rFonts w:hint="eastAsia" w:asciiTheme="minorEastAsia" w:hAnsiTheme="minorEastAsia"/>
          <w:sz w:val="24"/>
          <w:lang w:val="en-US" w:eastAsia="zh-CN"/>
        </w:rPr>
        <w:t>14.控制价应根据13规范、各专业计价定额和费用定额以及造价管理部门发布的价格信息等进行编制，招标控制价即为最高投标限价；该项目修缮土建控制价让利6%，修缮安装控制价让利10%。</w:t>
      </w:r>
    </w:p>
    <w:p w14:paraId="08C63847">
      <w:pPr>
        <w:keepNext w:val="0"/>
        <w:keepLines w:val="0"/>
        <w:pageBreakBefore w:val="0"/>
        <w:kinsoku/>
        <w:wordWrap/>
        <w:overflowPunct/>
        <w:topLinePunct w:val="0"/>
        <w:autoSpaceDE/>
        <w:autoSpaceDN/>
        <w:bidi w:val="0"/>
        <w:adjustRightInd/>
        <w:snapToGrid/>
        <w:spacing w:line="312" w:lineRule="auto"/>
        <w:textAlignment w:val="auto"/>
        <w:rPr>
          <w:rFonts w:cs="Times New Roman" w:asciiTheme="minorEastAsia" w:hAnsiTheme="minorEastAsia"/>
          <w:b/>
          <w:bCs/>
          <w:kern w:val="0"/>
          <w:sz w:val="24"/>
        </w:rPr>
      </w:pP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二</w:t>
      </w: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修缮</w:t>
      </w:r>
      <w:r>
        <w:rPr>
          <w:rFonts w:hint="eastAsia" w:cs="Times New Roman" w:asciiTheme="minorEastAsia" w:hAnsiTheme="minorEastAsia"/>
          <w:b/>
          <w:bCs/>
          <w:kern w:val="0"/>
          <w:sz w:val="24"/>
        </w:rPr>
        <w:t>工程编制说明</w:t>
      </w:r>
    </w:p>
    <w:p w14:paraId="4B0F3401">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rPr>
        <w:t>1、</w:t>
      </w:r>
      <w:r>
        <w:rPr>
          <w:rFonts w:hint="eastAsia" w:cs="宋体" w:asciiTheme="minorEastAsia" w:hAnsiTheme="minorEastAsia"/>
          <w:sz w:val="24"/>
          <w:lang w:val="en-US" w:eastAsia="zh-CN"/>
        </w:rPr>
        <w:t>由于维修项目零星、场地分散，现场情况复杂，成品保护要求高，施工材料、垃圾等受场地的限制，运输须人工抬挑、人力车二次搬运，因此二次搬运费、成品保护费、垂直运输费、脚手架等措施费用包干，不另行签证，价格不调整。</w:t>
      </w:r>
    </w:p>
    <w:p w14:paraId="1A2BF04A">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2</w:t>
      </w:r>
      <w:r>
        <w:rPr>
          <w:rFonts w:hint="eastAsia" w:cs="宋体" w:asciiTheme="minorEastAsia" w:hAnsiTheme="minorEastAsia"/>
          <w:sz w:val="24"/>
        </w:rPr>
        <w:t>、现场拆除工作，切忌野蛮、暴力破坏性拆除，应文明施工、保护性拆除。各类拆除的设备、材料的现场临时堆放、清理、运输以及部分设备材料搬迁等费用已包含在控制价中，投标人在投标报价时自行考虑。</w:t>
      </w:r>
    </w:p>
    <w:p w14:paraId="3402EB16">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cs="宋体" w:asciiTheme="minorEastAsia" w:hAnsiTheme="minorEastAsia"/>
          <w:sz w:val="24"/>
          <w:lang w:val="en-US" w:eastAsia="zh-CN"/>
        </w:rPr>
        <w:t>3、</w:t>
      </w:r>
      <w:r>
        <w:rPr>
          <w:rFonts w:hint="eastAsia" w:ascii="宋体" w:hAnsi="宋体" w:cs="宋体"/>
          <w:sz w:val="24"/>
        </w:rPr>
        <w:t>施工期间如损坏、污染其校园设备、场地等设施必须按原样复原，不另行签证，价格不调整。</w:t>
      </w:r>
    </w:p>
    <w:p w14:paraId="269F3A63">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kern w:val="0"/>
          <w:sz w:val="24"/>
        </w:rPr>
      </w:pPr>
      <w:r>
        <w:rPr>
          <w:rFonts w:hint="eastAsia" w:ascii="宋体" w:hAnsi="宋体" w:cs="宋体"/>
          <w:sz w:val="24"/>
          <w:lang w:val="en-US" w:eastAsia="zh-CN"/>
        </w:rPr>
        <w:t>4、</w:t>
      </w:r>
      <w:r>
        <w:rPr>
          <w:rFonts w:hint="eastAsia" w:ascii="宋体" w:hAnsi="宋体" w:cs="宋体"/>
          <w:kern w:val="0"/>
          <w:sz w:val="24"/>
        </w:rPr>
        <w:t>各工种、各专业之间无条件配合，不计取任何配合费。</w:t>
      </w:r>
    </w:p>
    <w:p w14:paraId="7B4A5EF2">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垃圾处理要求按照“常城管（2019）31号”文件执行，垃圾装袋并集中堆放至指定地点，做好防扬尘覆盖，并及时外运，外运距，弃场费及有害垃圾的无害化处理费用，由投标人报价时综合考虑在清单相关项目中，不另行签证计算费用。</w:t>
      </w:r>
    </w:p>
    <w:p w14:paraId="1D1EA867">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中标单位在材料进场前需向招标人、监理提交所使用材料的品牌、生产厂家、数量等资料，材料进场时需提交所有材料的出厂合格证、检测报告，每种材料需同一批次、同一厂家，不同批次需按批次进行抽样检测，每种材料不得使用不同厂家产品。</w:t>
      </w:r>
    </w:p>
    <w:p w14:paraId="003B8E41">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7、若同一品牌有不同系列，必须选用中高档系列，且进场前提供样品经甲方验收确认后方可进场。</w:t>
      </w:r>
    </w:p>
    <w:p w14:paraId="6F11323E">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8、如投标人拟在“招标文件(含工程量清单)”推荐的材料(设备)品牌范围外自行选择品牌，自选品牌应在性能、技术指标、技术参数、质量、使用寿命等方面均不低于推荐的材料(设备)品牌相应要求，投标人须在进场前向招标人提出并经招标人、设计、监理等部门共同认可后方可采购。</w:t>
      </w:r>
    </w:p>
    <w:p w14:paraId="16127752">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default" w:ascii="宋体" w:hAnsi="宋体" w:cs="宋体"/>
          <w:sz w:val="24"/>
          <w:lang w:val="en-US" w:eastAsia="zh-CN"/>
        </w:rPr>
      </w:pPr>
      <w:r>
        <w:rPr>
          <w:rFonts w:hint="eastAsia" w:ascii="宋体" w:hAnsi="宋体" w:cs="宋体"/>
          <w:sz w:val="24"/>
          <w:lang w:val="en-US" w:eastAsia="zh-CN"/>
        </w:rPr>
        <w:t>9、未有推荐品牌的材料，具体材质及相关参数要求需经招标人、设计、监理等部门共同认可，并提供相关质量合格证明文件及相关检测报告。</w:t>
      </w:r>
    </w:p>
    <w:p w14:paraId="2A5159FC">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10、</w:t>
      </w:r>
      <w:r>
        <w:rPr>
          <w:rFonts w:hint="eastAsia" w:ascii="宋体" w:hAnsi="宋体" w:cs="宋体"/>
          <w:sz w:val="24"/>
        </w:rPr>
        <w:t>墙面、天棚、地面、台面、门窗、扶手、灯具、空调等清理干净交付；所有项目的报价均为按规范、要求完成该项目所有工序、工完场清且经验收合格后的价格 。</w:t>
      </w:r>
    </w:p>
    <w:p w14:paraId="4F56C06E">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11、保修期内验收发现剥皮，脱落、空鼓，均有施工方无偿返工维修。</w:t>
      </w:r>
    </w:p>
    <w:p w14:paraId="4654A382">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12、所有项目的报价均为按规范、要求完成该项目所有工序、工完场清且经验收合格后的价格。</w:t>
      </w:r>
    </w:p>
    <w:p w14:paraId="1ED106CC">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default" w:ascii="宋体" w:hAnsi="宋体" w:cs="宋体"/>
          <w:sz w:val="24"/>
          <w:lang w:val="en-US" w:eastAsia="zh-CN"/>
        </w:rPr>
      </w:pPr>
      <w:r>
        <w:rPr>
          <w:rFonts w:hint="eastAsia" w:ascii="宋体" w:hAnsi="宋体" w:cs="宋体"/>
          <w:sz w:val="24"/>
          <w:lang w:val="en-US" w:eastAsia="zh-CN"/>
        </w:rPr>
        <w:t>13、所有原面层材料铲除时要</w:t>
      </w:r>
      <w:bookmarkStart w:id="0" w:name="_GoBack"/>
      <w:bookmarkEnd w:id="0"/>
      <w:r>
        <w:rPr>
          <w:rFonts w:hint="eastAsia" w:ascii="宋体" w:hAnsi="宋体" w:cs="宋体"/>
          <w:sz w:val="24"/>
          <w:lang w:val="en-US" w:eastAsia="zh-CN"/>
        </w:rPr>
        <w:t>确保原女儿墙、屋面结构层的完好，如有损坏由施工方自行修复，不另作签证。</w:t>
      </w:r>
    </w:p>
    <w:p w14:paraId="0A107E0C">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14、</w:t>
      </w:r>
      <w:r>
        <w:rPr>
          <w:rFonts w:hint="eastAsia" w:cs="宋体" w:asciiTheme="minorEastAsia" w:hAnsiTheme="minorEastAsia"/>
          <w:sz w:val="24"/>
        </w:rPr>
        <w:t>本工程现场施工中环境保护、夜间施工、冬雨季施工、地上/地下设施/建筑物的临时保护设施、已完工程及设备保护、临时设施等费用、建筑工人实名制费用，投标人在投标报价时应充分考虑，结算时不予调整。</w:t>
      </w:r>
    </w:p>
    <w:p w14:paraId="6B584D3E">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15、</w:t>
      </w:r>
      <w:r>
        <w:rPr>
          <w:rFonts w:hint="eastAsia" w:cs="宋体" w:asciiTheme="minorEastAsia" w:hAnsiTheme="minorEastAsia"/>
          <w:sz w:val="24"/>
        </w:rPr>
        <w:t>单价及总价措施项目清单未列的，如投标单位认为实际现场需要的其他措施，则投标单位需将其费用自行考虑在投标总价内，结算时不新增措施项目清单。</w:t>
      </w:r>
    </w:p>
    <w:p w14:paraId="4C23160C">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16、</w:t>
      </w:r>
      <w:r>
        <w:rPr>
          <w:rFonts w:hint="eastAsia" w:cs="宋体" w:asciiTheme="minorEastAsia" w:hAnsiTheme="minorEastAsia"/>
          <w:sz w:val="24"/>
        </w:rPr>
        <w:t>清单未描述完整处，投标单位还需按照验收规范及技术文件要求，进行报价。</w:t>
      </w:r>
    </w:p>
    <w:p w14:paraId="480C9F4A">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sz w:val="24"/>
          <w:lang w:val="en-US" w:eastAsia="zh-CN"/>
        </w:rPr>
        <w:t>17、所有拆除及铲除项目，</w:t>
      </w:r>
      <w:r>
        <w:rPr>
          <w:rFonts w:hint="eastAsia" w:cs="宋体" w:asciiTheme="minorEastAsia" w:hAnsiTheme="minorEastAsia"/>
          <w:b/>
          <w:bCs/>
          <w:sz w:val="24"/>
          <w:lang w:val="en-US" w:eastAsia="zh-CN"/>
        </w:rPr>
        <w:t>事前事后都必须留有影像资料，作为以后结算的依据</w:t>
      </w:r>
      <w:r>
        <w:rPr>
          <w:rFonts w:hint="eastAsia" w:cs="宋体" w:asciiTheme="minorEastAsia" w:hAnsiTheme="minorEastAsia"/>
          <w:sz w:val="24"/>
          <w:lang w:val="en-US" w:eastAsia="zh-CN"/>
        </w:rPr>
        <w:t>。</w:t>
      </w:r>
    </w:p>
    <w:p w14:paraId="12BE4DC5">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r>
        <w:rPr>
          <w:rFonts w:hint="eastAsia" w:cs="Times New Roman" w:asciiTheme="minorEastAsia" w:hAnsiTheme="minorEastAsia"/>
          <w:b/>
          <w:bCs/>
          <w:kern w:val="0"/>
          <w:sz w:val="24"/>
          <w:lang w:val="en-US" w:eastAsia="zh-CN"/>
        </w:rPr>
        <w:t>四、</w:t>
      </w:r>
      <w:r>
        <w:rPr>
          <w:rFonts w:hint="eastAsia" w:cs="Times New Roman" w:asciiTheme="minorEastAsia" w:hAnsiTheme="minorEastAsia"/>
          <w:b/>
          <w:bCs/>
          <w:kern w:val="0"/>
          <w:sz w:val="24"/>
        </w:rPr>
        <w:t>材料品牌选择：</w:t>
      </w:r>
    </w:p>
    <w:tbl>
      <w:tblPr>
        <w:tblStyle w:val="5"/>
        <w:tblW w:w="9371" w:type="dxa"/>
        <w:tblInd w:w="93" w:type="dxa"/>
        <w:tblLayout w:type="fixed"/>
        <w:tblCellMar>
          <w:top w:w="0" w:type="dxa"/>
          <w:left w:w="108" w:type="dxa"/>
          <w:bottom w:w="0" w:type="dxa"/>
          <w:right w:w="108" w:type="dxa"/>
        </w:tblCellMar>
      </w:tblPr>
      <w:tblGrid>
        <w:gridCol w:w="456"/>
        <w:gridCol w:w="1809"/>
        <w:gridCol w:w="5263"/>
        <w:gridCol w:w="1843"/>
      </w:tblGrid>
      <w:tr w14:paraId="6F08ADA5">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425EAE38">
            <w:pPr>
              <w:widowControl/>
              <w:jc w:val="left"/>
              <w:rPr>
                <w:rFonts w:ascii="宋体" w:hAnsi="宋体" w:cs="宋体"/>
                <w:sz w:val="24"/>
              </w:rPr>
            </w:pPr>
            <w:r>
              <w:rPr>
                <w:rFonts w:hint="eastAsia" w:ascii="宋体" w:hAnsi="宋体" w:cs="宋体"/>
                <w:sz w:val="24"/>
              </w:rPr>
              <w:t>序号</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B4A0BE9">
            <w:pPr>
              <w:widowControl/>
              <w:jc w:val="center"/>
              <w:rPr>
                <w:rFonts w:ascii="宋体" w:hAnsi="宋体" w:cs="宋体"/>
                <w:sz w:val="24"/>
              </w:rPr>
            </w:pPr>
            <w:r>
              <w:rPr>
                <w:rFonts w:hint="eastAsia" w:ascii="宋体" w:hAnsi="宋体" w:cs="宋体"/>
                <w:sz w:val="24"/>
              </w:rPr>
              <w:t>材料名称</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6984C817">
            <w:pPr>
              <w:widowControl/>
              <w:ind w:right="-107" w:rightChars="-51"/>
              <w:jc w:val="center"/>
              <w:rPr>
                <w:rFonts w:ascii="宋体" w:hAnsi="宋体" w:cs="宋体"/>
                <w:sz w:val="24"/>
              </w:rPr>
            </w:pPr>
            <w:r>
              <w:rPr>
                <w:rFonts w:hint="eastAsia" w:ascii="宋体" w:hAnsi="宋体" w:cs="宋体"/>
                <w:sz w:val="24"/>
              </w:rPr>
              <w:t>品 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9F38BC8">
            <w:pPr>
              <w:widowControl/>
              <w:jc w:val="left"/>
              <w:rPr>
                <w:rFonts w:ascii="宋体" w:hAnsi="宋体" w:cs="宋体"/>
                <w:sz w:val="24"/>
              </w:rPr>
            </w:pPr>
            <w:r>
              <w:rPr>
                <w:rFonts w:hint="eastAsia" w:ascii="宋体" w:hAnsi="宋体" w:cs="宋体"/>
                <w:sz w:val="24"/>
              </w:rPr>
              <w:t>备注</w:t>
            </w:r>
          </w:p>
        </w:tc>
      </w:tr>
      <w:tr w14:paraId="1FB6B3D2">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33FE2855">
            <w:pPr>
              <w:widowControl/>
              <w:jc w:val="center"/>
              <w:rPr>
                <w:rFonts w:hint="eastAsia" w:ascii="宋体" w:hAnsi="宋体" w:cs="宋体" w:eastAsiaTheme="minorEastAsia"/>
                <w:sz w:val="24"/>
                <w:lang w:val="en-US" w:eastAsia="zh-CN"/>
              </w:rPr>
            </w:pPr>
            <w:r>
              <w:rPr>
                <w:rFonts w:hint="eastAsia" w:ascii="宋体" w:hAnsi="宋体" w:cs="宋体"/>
                <w:sz w:val="24"/>
                <w:lang w:val="en-US" w:eastAsia="zh-CN"/>
              </w:rPr>
              <w:t>1</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CA7F1C1">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窗五金配件、窗锁等</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6DDE393F">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杨氏立兴（青岛）、坚朗（东莞）、合和兴（佛山）或经</w:t>
            </w:r>
            <w:r>
              <w:rPr>
                <w:rFonts w:hint="eastAsia" w:cs="宋体" w:asciiTheme="minorEastAsia" w:hAnsiTheme="minorEastAsia"/>
                <w:sz w:val="24"/>
                <w:lang w:val="en-US" w:eastAsia="zh-CN"/>
              </w:rPr>
              <w:t>建设方</w:t>
            </w:r>
            <w:r>
              <w:rPr>
                <w:rFonts w:hint="eastAsia" w:cs="宋体" w:asciiTheme="minorEastAsia" w:hAnsiTheme="minorEastAsia"/>
                <w:sz w:val="24"/>
              </w:rPr>
              <w:t>认可的其他同等档次品牌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4646281">
            <w:pPr>
              <w:widowControl/>
              <w:jc w:val="left"/>
              <w:rPr>
                <w:rFonts w:hint="eastAsia" w:ascii="宋体" w:hAnsi="宋体" w:cs="宋体"/>
                <w:sz w:val="24"/>
              </w:rPr>
            </w:pPr>
          </w:p>
        </w:tc>
      </w:tr>
      <w:tr w14:paraId="4DD7E49A">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5E0FCD5B">
            <w:pPr>
              <w:widowControl/>
              <w:jc w:val="center"/>
              <w:rPr>
                <w:rFonts w:hint="eastAsia" w:ascii="宋体" w:hAnsi="宋体" w:cs="宋体" w:eastAsiaTheme="minorEastAsia"/>
                <w:sz w:val="24"/>
                <w:lang w:val="en-US" w:eastAsia="zh-CN"/>
              </w:rPr>
            </w:pPr>
            <w:r>
              <w:rPr>
                <w:rFonts w:hint="eastAsia" w:ascii="宋体" w:hAnsi="宋体" w:cs="宋体"/>
                <w:sz w:val="24"/>
                <w:lang w:val="en-US" w:eastAsia="zh-CN"/>
              </w:rPr>
              <w:t>2</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8CDF09F">
            <w:pPr>
              <w:widowControl/>
              <w:jc w:val="center"/>
              <w:rPr>
                <w:rFonts w:hint="eastAsia" w:cs="宋体" w:asciiTheme="minorEastAsia" w:hAnsiTheme="minorEastAsia"/>
                <w:sz w:val="24"/>
              </w:rPr>
            </w:pPr>
            <w:r>
              <w:rPr>
                <w:rFonts w:hint="eastAsia" w:ascii="宋体"/>
                <w:spacing w:val="9"/>
                <w:sz w:val="24"/>
              </w:rPr>
              <w:t>玻璃</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286AB3CB">
            <w:pPr>
              <w:widowControl/>
              <w:jc w:val="left"/>
              <w:rPr>
                <w:rFonts w:hint="eastAsia" w:cs="宋体" w:asciiTheme="minorEastAsia" w:hAnsiTheme="minorEastAsia"/>
                <w:sz w:val="24"/>
              </w:rPr>
            </w:pPr>
            <w:r>
              <w:rPr>
                <w:rFonts w:hint="eastAsia" w:ascii="宋体"/>
                <w:spacing w:val="9"/>
                <w:sz w:val="24"/>
              </w:rPr>
              <w:t>信义、上海耀皮、深圳南玻或经</w:t>
            </w:r>
            <w:r>
              <w:rPr>
                <w:rFonts w:hint="eastAsia" w:ascii="宋体"/>
                <w:spacing w:val="9"/>
                <w:sz w:val="24"/>
                <w:lang w:val="en-US" w:eastAsia="zh-CN"/>
              </w:rPr>
              <w:t>建设方</w:t>
            </w:r>
            <w:r>
              <w:rPr>
                <w:rFonts w:hint="eastAsia" w:ascii="宋体"/>
                <w:spacing w:val="9"/>
                <w:sz w:val="24"/>
              </w:rPr>
              <w:t>认可的其他同等档次品牌（均为原厂原片）</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5B3C2B5">
            <w:pPr>
              <w:widowControl/>
              <w:jc w:val="left"/>
              <w:rPr>
                <w:rFonts w:hint="eastAsia" w:ascii="宋体" w:hAnsi="宋体" w:cs="宋体"/>
                <w:sz w:val="24"/>
              </w:rPr>
            </w:pPr>
          </w:p>
        </w:tc>
      </w:tr>
      <w:tr w14:paraId="03E87477">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3AF5C0DF">
            <w:pPr>
              <w:widowControl/>
              <w:jc w:val="center"/>
              <w:rPr>
                <w:rFonts w:hint="eastAsia" w:ascii="宋体" w:hAnsi="宋体" w:cs="宋体" w:eastAsiaTheme="minorEastAsia"/>
                <w:sz w:val="24"/>
                <w:lang w:val="en-US" w:eastAsia="zh-CN"/>
              </w:rPr>
            </w:pPr>
            <w:r>
              <w:rPr>
                <w:rFonts w:hint="eastAsia" w:ascii="宋体" w:hAnsi="宋体" w:cs="宋体"/>
                <w:sz w:val="24"/>
                <w:lang w:val="en-US" w:eastAsia="zh-CN"/>
              </w:rPr>
              <w:t>3</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A777EA4">
            <w:pPr>
              <w:widowControl/>
              <w:jc w:val="center"/>
              <w:rPr>
                <w:rFonts w:hint="eastAsia" w:cs="宋体" w:asciiTheme="minorEastAsia" w:hAnsiTheme="minorEastAsia"/>
                <w:sz w:val="24"/>
              </w:rPr>
            </w:pPr>
            <w:r>
              <w:rPr>
                <w:rFonts w:hint="eastAsia" w:ascii="宋体"/>
                <w:spacing w:val="9"/>
                <w:sz w:val="24"/>
                <w:lang w:val="en-US" w:eastAsia="zh-CN"/>
              </w:rPr>
              <w:t>成品木质门</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1BA78E4A">
            <w:pPr>
              <w:widowControl/>
              <w:jc w:val="left"/>
              <w:rPr>
                <w:rFonts w:hint="eastAsia" w:cs="宋体" w:asciiTheme="minorEastAsia" w:hAnsiTheme="minorEastAsia"/>
                <w:sz w:val="24"/>
              </w:rPr>
            </w:pPr>
            <w:r>
              <w:rPr>
                <w:rFonts w:hint="eastAsia" w:ascii="宋体"/>
                <w:spacing w:val="9"/>
                <w:sz w:val="24"/>
                <w:lang w:val="en-US" w:eastAsia="zh-CN"/>
              </w:rPr>
              <w:t>南洋、</w:t>
            </w:r>
            <w:r>
              <w:rPr>
                <w:rFonts w:hint="eastAsia" w:ascii="宋体" w:hAnsi="宋体" w:cs="宋体"/>
                <w:color w:val="000000"/>
                <w:kern w:val="0"/>
                <w:sz w:val="24"/>
              </w:rPr>
              <w:t>凯邦木业、红帆木门、美心或经</w:t>
            </w:r>
            <w:r>
              <w:rPr>
                <w:rFonts w:hint="eastAsia" w:ascii="宋体" w:hAnsi="宋体" w:cs="宋体"/>
                <w:color w:val="000000"/>
                <w:kern w:val="0"/>
                <w:sz w:val="24"/>
                <w:lang w:val="en-US" w:eastAsia="zh-CN"/>
              </w:rPr>
              <w:t>建设</w:t>
            </w:r>
            <w:r>
              <w:rPr>
                <w:rFonts w:hint="eastAsia" w:ascii="宋体" w:hAnsi="宋体" w:cs="宋体"/>
                <w:color w:val="000000"/>
                <w:kern w:val="0"/>
                <w:sz w:val="24"/>
              </w:rPr>
              <w:t>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D2ECBE1">
            <w:pPr>
              <w:widowControl/>
              <w:jc w:val="left"/>
              <w:rPr>
                <w:rFonts w:hint="eastAsia" w:ascii="宋体" w:hAnsi="宋体" w:cs="宋体"/>
                <w:sz w:val="24"/>
              </w:rPr>
            </w:pPr>
          </w:p>
        </w:tc>
      </w:tr>
      <w:tr w14:paraId="72458DAF">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0FC30121">
            <w:pPr>
              <w:widowControl/>
              <w:jc w:val="center"/>
              <w:rPr>
                <w:rFonts w:hint="default" w:ascii="宋体" w:hAnsi="宋体" w:cs="宋体"/>
                <w:sz w:val="24"/>
                <w:lang w:val="en-US" w:eastAsia="zh-CN"/>
              </w:rPr>
            </w:pPr>
            <w:r>
              <w:rPr>
                <w:rFonts w:hint="eastAsia" w:ascii="宋体" w:hAnsi="宋体" w:cs="宋体"/>
                <w:sz w:val="24"/>
                <w:lang w:val="en-US" w:eastAsia="zh-CN"/>
              </w:rPr>
              <w:t>4</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C72BCAF">
            <w:pPr>
              <w:widowControl/>
              <w:jc w:val="center"/>
              <w:rPr>
                <w:rFonts w:hint="eastAsia" w:ascii="宋体"/>
                <w:spacing w:val="9"/>
                <w:sz w:val="24"/>
                <w:lang w:val="en-US" w:eastAsia="zh-CN"/>
              </w:rPr>
            </w:pPr>
            <w:r>
              <w:rPr>
                <w:rFonts w:hint="eastAsia" w:ascii="宋体" w:hAnsi="宋体" w:cs="宋体"/>
                <w:kern w:val="0"/>
                <w:sz w:val="24"/>
                <w:lang w:val="en-US" w:eastAsia="zh-CN"/>
              </w:rPr>
              <w:t>地砖</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5CCD4374">
            <w:pPr>
              <w:widowControl/>
              <w:jc w:val="center"/>
              <w:rPr>
                <w:rFonts w:hint="eastAsia" w:ascii="宋体"/>
                <w:spacing w:val="9"/>
                <w:sz w:val="24"/>
                <w:lang w:val="en-US" w:eastAsia="zh-CN"/>
              </w:rPr>
            </w:pPr>
            <w:r>
              <w:rPr>
                <w:rFonts w:hint="eastAsia" w:ascii="宋体" w:hAnsi="宋体" w:cs="宋体"/>
                <w:kern w:val="0"/>
                <w:sz w:val="24"/>
              </w:rPr>
              <w:t>亚细亚、新中源、东鹏</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B784CD6">
            <w:pPr>
              <w:widowControl/>
              <w:jc w:val="left"/>
              <w:rPr>
                <w:rFonts w:hint="eastAsia" w:ascii="宋体" w:hAnsi="宋体" w:cs="宋体"/>
                <w:sz w:val="24"/>
              </w:rPr>
            </w:pPr>
          </w:p>
        </w:tc>
      </w:tr>
      <w:tr w14:paraId="1849557F">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2922E2E3">
            <w:pPr>
              <w:widowControl/>
              <w:jc w:val="center"/>
              <w:rPr>
                <w:rFonts w:hint="eastAsia" w:ascii="仿宋" w:hAnsi="仿宋" w:eastAsia="仿宋"/>
                <w:sz w:val="24"/>
                <w:lang w:eastAsia="zh-CN"/>
              </w:rPr>
            </w:pPr>
            <w:r>
              <w:rPr>
                <w:rFonts w:hint="eastAsia" w:ascii="仿宋" w:hAnsi="仿宋" w:eastAsia="仿宋"/>
                <w:sz w:val="24"/>
                <w:lang w:val="en-US" w:eastAsia="zh-CN"/>
              </w:rPr>
              <w:t>4</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7383EE24">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弹性体SBS改性沥青防水卷材</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0EDF560E">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东方雨虹、宏源、科顺、禹王或经建设方认可的上述同档次品牌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91D8860">
            <w:pPr>
              <w:widowControl/>
              <w:jc w:val="left"/>
              <w:rPr>
                <w:rFonts w:hint="eastAsia" w:ascii="仿宋" w:hAnsi="仿宋" w:eastAsia="仿宋"/>
                <w:sz w:val="24"/>
              </w:rPr>
            </w:pPr>
          </w:p>
        </w:tc>
      </w:tr>
      <w:tr w14:paraId="5F3AFE26">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66FF5FB3">
            <w:pPr>
              <w:widowControl/>
              <w:jc w:val="center"/>
              <w:rPr>
                <w:rFonts w:hint="eastAsia" w:ascii="仿宋" w:hAnsi="仿宋" w:eastAsia="仿宋"/>
                <w:sz w:val="24"/>
                <w:lang w:eastAsia="zh-CN"/>
              </w:rPr>
            </w:pPr>
            <w:r>
              <w:rPr>
                <w:rFonts w:hint="eastAsia" w:ascii="仿宋" w:hAnsi="仿宋" w:eastAsia="仿宋"/>
                <w:sz w:val="24"/>
                <w:lang w:val="en-US" w:eastAsia="zh-CN"/>
              </w:rPr>
              <w:t>5</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DD305C7">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PPR给水管、PVC穿线管及PVC排水管管材</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3A860B14">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联塑、河马、中财、日丰或经建设方认可的上述同档次品牌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D29A433">
            <w:pPr>
              <w:widowControl/>
              <w:jc w:val="left"/>
              <w:rPr>
                <w:rFonts w:hint="eastAsia" w:ascii="仿宋" w:hAnsi="仿宋" w:eastAsia="仿宋"/>
                <w:sz w:val="24"/>
              </w:rPr>
            </w:pPr>
          </w:p>
        </w:tc>
      </w:tr>
      <w:tr w14:paraId="4CC2B449">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67072ECB">
            <w:pPr>
              <w:widowControl/>
              <w:jc w:val="center"/>
              <w:rPr>
                <w:rFonts w:hint="eastAsia" w:ascii="仿宋" w:hAnsi="仿宋" w:eastAsia="仿宋"/>
                <w:sz w:val="24"/>
                <w:lang w:eastAsia="zh-CN"/>
              </w:rPr>
            </w:pPr>
            <w:r>
              <w:rPr>
                <w:rFonts w:hint="eastAsia" w:ascii="仿宋" w:hAnsi="仿宋" w:eastAsia="仿宋"/>
                <w:sz w:val="24"/>
                <w:lang w:val="en-US" w:eastAsia="zh-CN"/>
              </w:rPr>
              <w:t>6</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7D75BAD4">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灯具、开关插座</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040CED79">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欧普、雷士、飞利浦或经建设方认可的上述同档次品牌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9A5B3C6">
            <w:pPr>
              <w:widowControl/>
              <w:jc w:val="left"/>
              <w:rPr>
                <w:rFonts w:hint="eastAsia" w:ascii="仿宋" w:hAnsi="仿宋" w:eastAsia="仿宋"/>
                <w:sz w:val="24"/>
              </w:rPr>
            </w:pPr>
          </w:p>
        </w:tc>
      </w:tr>
      <w:tr w14:paraId="5EAC4317">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012CD485">
            <w:pPr>
              <w:widowControl/>
              <w:jc w:val="center"/>
              <w:rPr>
                <w:rFonts w:hint="eastAsia" w:ascii="仿宋" w:hAnsi="仿宋" w:eastAsia="仿宋"/>
                <w:sz w:val="24"/>
                <w:lang w:eastAsia="zh-CN"/>
              </w:rPr>
            </w:pPr>
            <w:r>
              <w:rPr>
                <w:rFonts w:hint="eastAsia" w:ascii="仿宋" w:hAnsi="仿宋" w:eastAsia="仿宋"/>
                <w:sz w:val="24"/>
                <w:lang w:val="en-US" w:eastAsia="zh-CN"/>
              </w:rPr>
              <w:t>7</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C3119EB">
            <w:pPr>
              <w:keepNext w:val="0"/>
              <w:keepLines w:val="0"/>
              <w:pageBreakBefore w:val="0"/>
              <w:kinsoku/>
              <w:wordWrap/>
              <w:overflowPunct/>
              <w:topLinePunct w:val="0"/>
              <w:autoSpaceDE/>
              <w:autoSpaceDN/>
              <w:bidi w:val="0"/>
              <w:adjustRightInd/>
              <w:snapToGrid/>
              <w:spacing w:line="312" w:lineRule="auto"/>
              <w:jc w:val="left"/>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sz w:val="24"/>
                <w:lang w:val="en-US" w:eastAsia="zh-CN"/>
              </w:rPr>
              <w:t>电线电缆</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0B4E7316">
            <w:pPr>
              <w:keepNext w:val="0"/>
              <w:keepLines w:val="0"/>
              <w:pageBreakBefore w:val="0"/>
              <w:kinsoku/>
              <w:wordWrap/>
              <w:overflowPunct/>
              <w:topLinePunct w:val="0"/>
              <w:autoSpaceDE/>
              <w:autoSpaceDN/>
              <w:bidi w:val="0"/>
              <w:adjustRightInd/>
              <w:snapToGrid/>
              <w:spacing w:line="312" w:lineRule="auto"/>
              <w:jc w:val="left"/>
              <w:textAlignment w:val="auto"/>
              <w:rPr>
                <w:rFonts w:hint="eastAsia" w:cs="宋体" w:asciiTheme="minorEastAsia" w:hAnsiTheme="minorEastAsia"/>
                <w:sz w:val="24"/>
              </w:rPr>
            </w:pPr>
            <w:r>
              <w:rPr>
                <w:rFonts w:hint="eastAsia" w:cs="宋体" w:asciiTheme="minorEastAsia" w:hAnsiTheme="minorEastAsia"/>
                <w:sz w:val="24"/>
              </w:rPr>
              <w:t>上上、远东、江南或经建设方认可的上述同档次品牌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3F75AA4">
            <w:pPr>
              <w:widowControl/>
              <w:jc w:val="left"/>
              <w:rPr>
                <w:rFonts w:hint="eastAsia" w:ascii="仿宋" w:hAnsi="仿宋" w:eastAsia="仿宋"/>
                <w:sz w:val="24"/>
              </w:rPr>
            </w:pPr>
          </w:p>
        </w:tc>
      </w:tr>
      <w:tr w14:paraId="1CEBF181">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48AD31C7">
            <w:pPr>
              <w:widowControl/>
              <w:jc w:val="center"/>
              <w:rPr>
                <w:rFonts w:hint="default" w:ascii="仿宋" w:hAnsi="仿宋" w:eastAsia="仿宋"/>
                <w:sz w:val="24"/>
                <w:lang w:val="en-US" w:eastAsia="zh-CN"/>
              </w:rPr>
            </w:pPr>
            <w:r>
              <w:rPr>
                <w:rFonts w:hint="eastAsia" w:ascii="仿宋" w:hAnsi="仿宋" w:eastAsia="仿宋"/>
                <w:sz w:val="24"/>
                <w:lang w:val="en-US" w:eastAsia="zh-CN"/>
              </w:rPr>
              <w:t>8</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3C7AFF6">
            <w:pPr>
              <w:widowControl/>
              <w:jc w:val="both"/>
              <w:rPr>
                <w:rFonts w:hint="eastAsia" w:cs="宋体" w:asciiTheme="minorEastAsia" w:hAnsiTheme="minorEastAsia"/>
                <w:sz w:val="24"/>
                <w:lang w:val="en-US" w:eastAsia="zh-CN"/>
              </w:rPr>
            </w:pPr>
            <w:r>
              <w:rPr>
                <w:rFonts w:hint="eastAsia" w:ascii="宋体" w:hAnsi="Times New Roman" w:eastAsia="宋体" w:cs="Times New Roman"/>
                <w:spacing w:val="9"/>
                <w:sz w:val="24"/>
              </w:rPr>
              <w:t>配电箱</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73447E11">
            <w:pPr>
              <w:widowControl/>
              <w:jc w:val="left"/>
              <w:rPr>
                <w:rFonts w:hint="eastAsia" w:cs="宋体" w:asciiTheme="minorEastAsia" w:hAnsiTheme="minorEastAsia"/>
                <w:sz w:val="24"/>
              </w:rPr>
            </w:pPr>
            <w:r>
              <w:rPr>
                <w:rFonts w:hint="eastAsia" w:ascii="宋体" w:hAnsi="Times New Roman" w:eastAsia="宋体" w:cs="Times New Roman"/>
                <w:spacing w:val="9"/>
                <w:sz w:val="24"/>
              </w:rPr>
              <w:t>德力西、TCL、正泰或经建设方认可的上述同档次品牌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F701365">
            <w:pPr>
              <w:widowControl/>
              <w:jc w:val="left"/>
              <w:rPr>
                <w:rFonts w:hint="eastAsia" w:ascii="仿宋" w:hAnsi="仿宋" w:eastAsia="仿宋"/>
                <w:sz w:val="24"/>
              </w:rPr>
            </w:pPr>
          </w:p>
        </w:tc>
      </w:tr>
      <w:tr w14:paraId="2EB9710B">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4496A964">
            <w:pPr>
              <w:widowControl/>
              <w:jc w:val="center"/>
              <w:rPr>
                <w:rFonts w:hint="default" w:ascii="仿宋" w:hAnsi="仿宋" w:eastAsia="仿宋"/>
                <w:sz w:val="24"/>
                <w:lang w:val="en-US" w:eastAsia="zh-CN"/>
              </w:rPr>
            </w:pPr>
            <w:r>
              <w:rPr>
                <w:rFonts w:hint="eastAsia" w:ascii="仿宋" w:hAnsi="仿宋" w:eastAsia="仿宋"/>
                <w:sz w:val="24"/>
                <w:lang w:val="en-US" w:eastAsia="zh-CN"/>
              </w:rPr>
              <w:t>9</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FA05FC9">
            <w:pPr>
              <w:widowControl/>
              <w:jc w:val="both"/>
              <w:rPr>
                <w:rFonts w:hint="eastAsia" w:ascii="宋体" w:hAnsi="Times New Roman" w:eastAsia="宋体" w:cs="Times New Roman"/>
                <w:spacing w:val="9"/>
                <w:sz w:val="24"/>
              </w:rPr>
            </w:pPr>
            <w:r>
              <w:rPr>
                <w:rFonts w:hint="eastAsia" w:ascii="宋体"/>
                <w:spacing w:val="9"/>
                <w:sz w:val="24"/>
                <w:lang w:eastAsia="zh-CN"/>
              </w:rPr>
              <w:t>洁具</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4DA65A43">
            <w:pPr>
              <w:widowControl/>
              <w:jc w:val="center"/>
              <w:rPr>
                <w:rFonts w:hint="eastAsia" w:ascii="宋体" w:hAnsi="Times New Roman" w:eastAsia="宋体" w:cs="Times New Roman"/>
                <w:spacing w:val="9"/>
                <w:sz w:val="24"/>
              </w:rPr>
            </w:pPr>
            <w:r>
              <w:rPr>
                <w:rFonts w:hint="eastAsia" w:ascii="宋体"/>
                <w:spacing w:val="9"/>
                <w:sz w:val="24"/>
                <w:lang w:eastAsia="zh-CN"/>
              </w:rPr>
              <w:t>恒洁</w:t>
            </w:r>
            <w:r>
              <w:rPr>
                <w:rFonts w:hint="eastAsia" w:ascii="宋体"/>
                <w:spacing w:val="9"/>
                <w:sz w:val="24"/>
              </w:rPr>
              <w:t>、</w:t>
            </w:r>
            <w:r>
              <w:rPr>
                <w:rFonts w:hint="eastAsia" w:ascii="宋体"/>
                <w:spacing w:val="9"/>
                <w:sz w:val="24"/>
                <w:lang w:eastAsia="zh-CN"/>
              </w:rPr>
              <w:t>法恩莎</w:t>
            </w:r>
            <w:r>
              <w:rPr>
                <w:rFonts w:hint="eastAsia" w:ascii="宋体"/>
                <w:spacing w:val="9"/>
                <w:sz w:val="24"/>
              </w:rPr>
              <w:t>、</w:t>
            </w:r>
            <w:r>
              <w:rPr>
                <w:rFonts w:hint="eastAsia" w:ascii="宋体"/>
                <w:spacing w:val="9"/>
                <w:sz w:val="24"/>
                <w:lang w:eastAsia="zh-CN"/>
              </w:rPr>
              <w:t>惠达</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504090B">
            <w:pPr>
              <w:widowControl/>
              <w:jc w:val="left"/>
              <w:rPr>
                <w:rFonts w:hint="eastAsia" w:ascii="仿宋" w:hAnsi="仿宋" w:eastAsia="仿宋"/>
                <w:sz w:val="24"/>
              </w:rPr>
            </w:pPr>
          </w:p>
        </w:tc>
      </w:tr>
      <w:tr w14:paraId="5E1DC60C">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6E1AA5D0">
            <w:pPr>
              <w:widowControl/>
              <w:jc w:val="center"/>
              <w:rPr>
                <w:rFonts w:hint="default" w:ascii="仿宋" w:hAnsi="仿宋" w:eastAsia="仿宋"/>
                <w:sz w:val="24"/>
                <w:lang w:val="en-US" w:eastAsia="zh-CN"/>
              </w:rPr>
            </w:pPr>
            <w:r>
              <w:rPr>
                <w:rFonts w:hint="eastAsia" w:ascii="仿宋" w:hAnsi="仿宋" w:eastAsia="仿宋"/>
                <w:sz w:val="24"/>
                <w:lang w:val="en-US" w:eastAsia="zh-CN"/>
              </w:rPr>
              <w:t>10</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B82108C">
            <w:pPr>
              <w:widowControl/>
              <w:jc w:val="both"/>
              <w:rPr>
                <w:rFonts w:hint="default" w:ascii="宋体"/>
                <w:spacing w:val="9"/>
                <w:sz w:val="24"/>
                <w:lang w:val="en-US" w:eastAsia="zh-CN"/>
              </w:rPr>
            </w:pPr>
            <w:r>
              <w:rPr>
                <w:rFonts w:hint="eastAsia" w:ascii="宋体"/>
                <w:spacing w:val="9"/>
                <w:sz w:val="24"/>
                <w:lang w:val="en-US" w:eastAsia="zh-CN"/>
              </w:rPr>
              <w:t>电磁炉</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74EC6210">
            <w:pPr>
              <w:widowControl/>
              <w:jc w:val="center"/>
              <w:rPr>
                <w:rFonts w:hint="default" w:ascii="宋体"/>
                <w:spacing w:val="9"/>
                <w:sz w:val="24"/>
                <w:lang w:val="en-US" w:eastAsia="zh-CN"/>
              </w:rPr>
            </w:pPr>
            <w:r>
              <w:rPr>
                <w:rFonts w:hint="eastAsia" w:ascii="宋体"/>
                <w:spacing w:val="9"/>
                <w:sz w:val="24"/>
                <w:lang w:val="en-US" w:eastAsia="zh-CN"/>
              </w:rPr>
              <w:t>美的、苏泊尔、九阳</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83D7650">
            <w:pPr>
              <w:widowControl/>
              <w:jc w:val="left"/>
              <w:rPr>
                <w:rFonts w:hint="eastAsia" w:ascii="仿宋" w:hAnsi="仿宋" w:eastAsia="仿宋"/>
                <w:sz w:val="24"/>
              </w:rPr>
            </w:pPr>
          </w:p>
        </w:tc>
      </w:tr>
      <w:tr w14:paraId="75EC2469">
        <w:tblPrEx>
          <w:tblCellMar>
            <w:top w:w="0" w:type="dxa"/>
            <w:left w:w="108" w:type="dxa"/>
            <w:bottom w:w="0" w:type="dxa"/>
            <w:right w:w="108" w:type="dxa"/>
          </w:tblCellMar>
        </w:tblPrEx>
        <w:trPr>
          <w:trHeight w:val="664" w:hRule="atLeast"/>
        </w:trPr>
        <w:tc>
          <w:tcPr>
            <w:tcW w:w="456" w:type="dxa"/>
            <w:tcBorders>
              <w:top w:val="single" w:color="auto" w:sz="4" w:space="0"/>
              <w:left w:val="single" w:color="auto" w:sz="4" w:space="0"/>
              <w:bottom w:val="single" w:color="auto" w:sz="4" w:space="0"/>
              <w:right w:val="single" w:color="auto" w:sz="4" w:space="0"/>
            </w:tcBorders>
            <w:noWrap w:val="0"/>
            <w:vAlign w:val="center"/>
          </w:tcPr>
          <w:p w14:paraId="2EC71454">
            <w:pPr>
              <w:widowControl/>
              <w:jc w:val="center"/>
              <w:rPr>
                <w:rFonts w:hint="default" w:ascii="仿宋" w:hAnsi="仿宋" w:eastAsia="仿宋"/>
                <w:sz w:val="24"/>
                <w:lang w:val="en-US" w:eastAsia="zh-CN"/>
              </w:rPr>
            </w:pPr>
            <w:r>
              <w:rPr>
                <w:rFonts w:hint="eastAsia" w:ascii="仿宋" w:hAnsi="仿宋" w:eastAsia="仿宋"/>
                <w:sz w:val="24"/>
                <w:lang w:val="en-US" w:eastAsia="zh-CN"/>
              </w:rPr>
              <w:t>11</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7B6A84E">
            <w:pPr>
              <w:widowControl/>
              <w:jc w:val="both"/>
              <w:rPr>
                <w:rFonts w:hint="default" w:ascii="宋体"/>
                <w:spacing w:val="9"/>
                <w:sz w:val="24"/>
                <w:lang w:val="en-US" w:eastAsia="zh-CN"/>
              </w:rPr>
            </w:pPr>
            <w:r>
              <w:rPr>
                <w:rFonts w:hint="eastAsia" w:ascii="宋体"/>
                <w:spacing w:val="9"/>
                <w:sz w:val="24"/>
                <w:lang w:val="en-US" w:eastAsia="zh-CN"/>
              </w:rPr>
              <w:t>电热水器</w:t>
            </w:r>
          </w:p>
        </w:tc>
        <w:tc>
          <w:tcPr>
            <w:tcW w:w="5263" w:type="dxa"/>
            <w:tcBorders>
              <w:top w:val="single" w:color="auto" w:sz="4" w:space="0"/>
              <w:left w:val="single" w:color="auto" w:sz="4" w:space="0"/>
              <w:bottom w:val="single" w:color="auto" w:sz="4" w:space="0"/>
              <w:right w:val="single" w:color="auto" w:sz="4" w:space="0"/>
            </w:tcBorders>
            <w:noWrap w:val="0"/>
            <w:vAlign w:val="center"/>
          </w:tcPr>
          <w:p w14:paraId="1B4409B7">
            <w:pPr>
              <w:widowControl/>
              <w:jc w:val="center"/>
              <w:rPr>
                <w:rFonts w:hint="default" w:ascii="宋体"/>
                <w:spacing w:val="9"/>
                <w:sz w:val="24"/>
                <w:lang w:val="en-US" w:eastAsia="zh-CN"/>
              </w:rPr>
            </w:pPr>
            <w:r>
              <w:rPr>
                <w:rFonts w:hint="eastAsia" w:ascii="宋体"/>
                <w:spacing w:val="9"/>
                <w:sz w:val="24"/>
                <w:lang w:val="en-US" w:eastAsia="zh-CN"/>
              </w:rPr>
              <w:t>美的、奥克斯、荣事达</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1E40DB8">
            <w:pPr>
              <w:widowControl/>
              <w:jc w:val="left"/>
              <w:rPr>
                <w:rFonts w:hint="eastAsia" w:ascii="仿宋" w:hAnsi="仿宋" w:eastAsia="仿宋"/>
                <w:sz w:val="24"/>
              </w:rPr>
            </w:pPr>
          </w:p>
        </w:tc>
      </w:tr>
    </w:tbl>
    <w:p w14:paraId="7FBC915E">
      <w:pPr>
        <w:keepNext w:val="0"/>
        <w:keepLines w:val="0"/>
        <w:pageBreakBefore w:val="0"/>
        <w:kinsoku/>
        <w:wordWrap/>
        <w:overflowPunct/>
        <w:topLinePunct w:val="0"/>
        <w:autoSpaceDE/>
        <w:autoSpaceDN/>
        <w:bidi w:val="0"/>
        <w:adjustRightInd/>
        <w:snapToGrid/>
        <w:spacing w:line="312" w:lineRule="auto"/>
        <w:ind w:firstLine="0" w:firstLineChars="0"/>
        <w:jc w:val="both"/>
        <w:textAlignment w:val="auto"/>
        <w:rPr>
          <w:rFonts w:hint="eastAsia" w:asciiTheme="minorEastAsia" w:hAnsiTheme="minorEastAsia"/>
          <w:sz w:val="24"/>
          <w:lang w:val="en-US" w:eastAsia="zh-CN"/>
        </w:rPr>
      </w:pPr>
    </w:p>
    <w:p w14:paraId="710FC793">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r>
        <w:rPr>
          <w:rFonts w:hint="eastAsia" w:asciiTheme="minorEastAsia" w:hAnsiTheme="minorEastAsia"/>
          <w:sz w:val="24"/>
          <w:lang w:val="en-US" w:eastAsia="zh-CN"/>
        </w:rPr>
        <w:t>江苏佳宸全过程工程咨询</w:t>
      </w:r>
      <w:r>
        <w:rPr>
          <w:rFonts w:hint="eastAsia" w:asciiTheme="minorEastAsia" w:hAnsiTheme="minorEastAsia"/>
          <w:sz w:val="24"/>
        </w:rPr>
        <w:t>有限公司</w:t>
      </w:r>
    </w:p>
    <w:p w14:paraId="13B634CD">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p>
    <w:p w14:paraId="270CC16B">
      <w:pPr>
        <w:keepNext w:val="0"/>
        <w:keepLines w:val="0"/>
        <w:pageBreakBefore w:val="0"/>
        <w:kinsoku/>
        <w:wordWrap/>
        <w:overflowPunct/>
        <w:topLinePunct w:val="0"/>
        <w:autoSpaceDE/>
        <w:autoSpaceDN/>
        <w:bidi w:val="0"/>
        <w:adjustRightInd/>
        <w:snapToGrid/>
        <w:spacing w:line="312" w:lineRule="auto"/>
        <w:ind w:firstLine="0" w:firstLineChars="0"/>
        <w:jc w:val="center"/>
        <w:textAlignment w:val="auto"/>
        <w:rPr>
          <w:rFonts w:hint="default" w:asciiTheme="minorEastAsia" w:hAnsiTheme="minorEastAsia"/>
          <w:sz w:val="24"/>
          <w:lang w:val="en-US" w:eastAsia="zh-CN"/>
        </w:rPr>
      </w:pPr>
      <w:r>
        <w:rPr>
          <w:rFonts w:hint="eastAsia" w:asciiTheme="minorEastAsia" w:hAnsiTheme="minorEastAsia"/>
          <w:sz w:val="24"/>
          <w:lang w:val="en-US" w:eastAsia="zh-CN"/>
        </w:rPr>
        <w:t xml:space="preserve">                                           </w:t>
      </w:r>
      <w:r>
        <w:rPr>
          <w:rFonts w:hint="eastAsia" w:asciiTheme="minorEastAsia" w:hAnsiTheme="minorEastAsia"/>
          <w:sz w:val="24"/>
        </w:rPr>
        <w:t>202</w:t>
      </w:r>
      <w:r>
        <w:rPr>
          <w:rFonts w:hint="eastAsia" w:asciiTheme="minorEastAsia" w:hAnsiTheme="minorEastAsia"/>
          <w:sz w:val="24"/>
          <w:lang w:val="en-US" w:eastAsia="zh-CN"/>
        </w:rPr>
        <w:t>3.7.9</w:t>
      </w:r>
    </w:p>
    <w:sectPr>
      <w:pgSz w:w="11906" w:h="16838"/>
      <w:pgMar w:top="1270" w:right="1800" w:bottom="93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xZWJkN2M3NDBkN2Q2ODBiMDliODg2YWJlNmM2MzMifQ=="/>
  </w:docVars>
  <w:rsids>
    <w:rsidRoot w:val="7836101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6187F"/>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2AF6FA3"/>
    <w:rsid w:val="02B35632"/>
    <w:rsid w:val="02F61E8D"/>
    <w:rsid w:val="07D94E47"/>
    <w:rsid w:val="08714C92"/>
    <w:rsid w:val="08B1314F"/>
    <w:rsid w:val="096D32B3"/>
    <w:rsid w:val="09FA1A4D"/>
    <w:rsid w:val="0A062BC2"/>
    <w:rsid w:val="0A6D3263"/>
    <w:rsid w:val="0B250262"/>
    <w:rsid w:val="0B5001B3"/>
    <w:rsid w:val="0B6C0341"/>
    <w:rsid w:val="0B8C71AA"/>
    <w:rsid w:val="0C484F66"/>
    <w:rsid w:val="0C8D3AAD"/>
    <w:rsid w:val="0EFC30BB"/>
    <w:rsid w:val="0F1A7B83"/>
    <w:rsid w:val="10305DCD"/>
    <w:rsid w:val="126170C1"/>
    <w:rsid w:val="129134B6"/>
    <w:rsid w:val="13EC77E2"/>
    <w:rsid w:val="147014C1"/>
    <w:rsid w:val="162A2CF6"/>
    <w:rsid w:val="1758759C"/>
    <w:rsid w:val="17802191"/>
    <w:rsid w:val="18170C8C"/>
    <w:rsid w:val="18910D0B"/>
    <w:rsid w:val="1A092C9A"/>
    <w:rsid w:val="1A902CBE"/>
    <w:rsid w:val="1C1E62FF"/>
    <w:rsid w:val="1EED7F7A"/>
    <w:rsid w:val="20E7351D"/>
    <w:rsid w:val="21EA6E82"/>
    <w:rsid w:val="221958FB"/>
    <w:rsid w:val="24700EB4"/>
    <w:rsid w:val="24A31DAF"/>
    <w:rsid w:val="2584489B"/>
    <w:rsid w:val="260B579F"/>
    <w:rsid w:val="27CF50B2"/>
    <w:rsid w:val="284553B4"/>
    <w:rsid w:val="29383010"/>
    <w:rsid w:val="294609CE"/>
    <w:rsid w:val="2A104310"/>
    <w:rsid w:val="2A243C1D"/>
    <w:rsid w:val="2A387098"/>
    <w:rsid w:val="2ACB56A5"/>
    <w:rsid w:val="2B032D2F"/>
    <w:rsid w:val="2B947461"/>
    <w:rsid w:val="2D3D7B08"/>
    <w:rsid w:val="2EBE7431"/>
    <w:rsid w:val="2FBD203A"/>
    <w:rsid w:val="32811051"/>
    <w:rsid w:val="32BA3390"/>
    <w:rsid w:val="32E6538C"/>
    <w:rsid w:val="34075B00"/>
    <w:rsid w:val="354D5628"/>
    <w:rsid w:val="35D320EF"/>
    <w:rsid w:val="36902CC0"/>
    <w:rsid w:val="36AE456E"/>
    <w:rsid w:val="373B0A61"/>
    <w:rsid w:val="3962247D"/>
    <w:rsid w:val="3B3A2DF7"/>
    <w:rsid w:val="3B662930"/>
    <w:rsid w:val="3C21380B"/>
    <w:rsid w:val="3DA23CB8"/>
    <w:rsid w:val="40347E8A"/>
    <w:rsid w:val="41D3399B"/>
    <w:rsid w:val="42020A85"/>
    <w:rsid w:val="42665955"/>
    <w:rsid w:val="428C42F8"/>
    <w:rsid w:val="44C567BE"/>
    <w:rsid w:val="44D4435B"/>
    <w:rsid w:val="457572C5"/>
    <w:rsid w:val="457E3758"/>
    <w:rsid w:val="45D00471"/>
    <w:rsid w:val="467101CE"/>
    <w:rsid w:val="46B34867"/>
    <w:rsid w:val="470F730E"/>
    <w:rsid w:val="4BB01B20"/>
    <w:rsid w:val="4C4109B4"/>
    <w:rsid w:val="4D9F57B8"/>
    <w:rsid w:val="4EF57116"/>
    <w:rsid w:val="4F01466A"/>
    <w:rsid w:val="4F220221"/>
    <w:rsid w:val="50A07A99"/>
    <w:rsid w:val="51741E7C"/>
    <w:rsid w:val="51E950B7"/>
    <w:rsid w:val="52187E91"/>
    <w:rsid w:val="522649CA"/>
    <w:rsid w:val="522D4B2B"/>
    <w:rsid w:val="52611B29"/>
    <w:rsid w:val="52BA7140"/>
    <w:rsid w:val="530A05AF"/>
    <w:rsid w:val="530C7CA5"/>
    <w:rsid w:val="53634D2D"/>
    <w:rsid w:val="54930C6A"/>
    <w:rsid w:val="54A70C44"/>
    <w:rsid w:val="54DE56A9"/>
    <w:rsid w:val="551A391F"/>
    <w:rsid w:val="55C20708"/>
    <w:rsid w:val="561073E9"/>
    <w:rsid w:val="56444E85"/>
    <w:rsid w:val="5E0A2A5B"/>
    <w:rsid w:val="5E1D538D"/>
    <w:rsid w:val="5E2D3EF3"/>
    <w:rsid w:val="5EA12711"/>
    <w:rsid w:val="5FD73FDE"/>
    <w:rsid w:val="6033204C"/>
    <w:rsid w:val="60ED7BD8"/>
    <w:rsid w:val="60FA26D8"/>
    <w:rsid w:val="6396613F"/>
    <w:rsid w:val="63F93742"/>
    <w:rsid w:val="64C61001"/>
    <w:rsid w:val="65A62D78"/>
    <w:rsid w:val="66AA43B3"/>
    <w:rsid w:val="66AD4DB8"/>
    <w:rsid w:val="67280F2E"/>
    <w:rsid w:val="694B4341"/>
    <w:rsid w:val="6994700E"/>
    <w:rsid w:val="69EC1E2F"/>
    <w:rsid w:val="6B9B737D"/>
    <w:rsid w:val="6BB45612"/>
    <w:rsid w:val="6BC44E95"/>
    <w:rsid w:val="6C767982"/>
    <w:rsid w:val="6CBA65C0"/>
    <w:rsid w:val="6CBF2F4D"/>
    <w:rsid w:val="6D7B3098"/>
    <w:rsid w:val="6E6C4BB6"/>
    <w:rsid w:val="6E947C7B"/>
    <w:rsid w:val="6F21423E"/>
    <w:rsid w:val="6F7B5D8F"/>
    <w:rsid w:val="6F874E4F"/>
    <w:rsid w:val="70DC2814"/>
    <w:rsid w:val="72202FDB"/>
    <w:rsid w:val="74B52FA1"/>
    <w:rsid w:val="76840604"/>
    <w:rsid w:val="77823C03"/>
    <w:rsid w:val="778A0A55"/>
    <w:rsid w:val="77EC65BC"/>
    <w:rsid w:val="78361017"/>
    <w:rsid w:val="78C6699C"/>
    <w:rsid w:val="7AAC2CCB"/>
    <w:rsid w:val="7B4A6441"/>
    <w:rsid w:val="7BE869D6"/>
    <w:rsid w:val="7CD34B6F"/>
    <w:rsid w:val="7D271E29"/>
    <w:rsid w:val="7D2A16F6"/>
    <w:rsid w:val="7D9E1DED"/>
    <w:rsid w:val="7F182B5B"/>
    <w:rsid w:val="7F683B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link w:val="13"/>
    <w:autoRedefine/>
    <w:qFormat/>
    <w:uiPriority w:val="0"/>
    <w:pPr>
      <w:tabs>
        <w:tab w:val="center" w:pos="4153"/>
        <w:tab w:val="right" w:pos="8306"/>
      </w:tabs>
      <w:snapToGrid w:val="0"/>
      <w:jc w:val="left"/>
    </w:pPr>
    <w:rPr>
      <w:sz w:val="18"/>
      <w:szCs w:val="18"/>
    </w:rPr>
  </w:style>
  <w:style w:type="paragraph" w:styleId="4">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autoRedefine/>
    <w:qFormat/>
    <w:uiPriority w:val="0"/>
    <w:rPr>
      <w:rFonts w:hint="eastAsia" w:ascii="宋体" w:hAnsi="宋体" w:eastAsia="宋体" w:cs="宋体"/>
      <w:color w:val="000000"/>
      <w:sz w:val="24"/>
      <w:szCs w:val="24"/>
      <w:u w:val="none"/>
    </w:rPr>
  </w:style>
  <w:style w:type="character" w:customStyle="1" w:styleId="9">
    <w:name w:val="font11"/>
    <w:basedOn w:val="7"/>
    <w:qFormat/>
    <w:uiPriority w:val="0"/>
    <w:rPr>
      <w:rFonts w:hint="default" w:ascii="Tahoma" w:hAnsi="Tahoma" w:eastAsia="Tahoma" w:cs="Tahoma"/>
      <w:color w:val="000000"/>
      <w:sz w:val="24"/>
      <w:szCs w:val="24"/>
      <w:u w:val="none"/>
    </w:rPr>
  </w:style>
  <w:style w:type="paragraph" w:styleId="10">
    <w:name w:val="List Paragraph"/>
    <w:basedOn w:val="1"/>
    <w:qFormat/>
    <w:uiPriority w:val="34"/>
    <w:pPr>
      <w:ind w:firstLine="420" w:firstLineChars="200"/>
    </w:p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2">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13">
    <w:name w:val="页脚 Char"/>
    <w:basedOn w:val="7"/>
    <w:link w:val="3"/>
    <w:qFormat/>
    <w:uiPriority w:val="0"/>
    <w:rPr>
      <w:rFonts w:asciiTheme="minorHAnsi" w:hAnsiTheme="minorHAnsi" w:eastAsiaTheme="minorEastAsia" w:cstheme="minorBidi"/>
      <w:kern w:val="2"/>
      <w:sz w:val="18"/>
      <w:szCs w:val="18"/>
    </w:rPr>
  </w:style>
  <w:style w:type="character" w:customStyle="1" w:styleId="14">
    <w:name w:val="15"/>
    <w:basedOn w:val="7"/>
    <w:qFormat/>
    <w:uiPriority w:val="0"/>
    <w:rPr>
      <w:rFonts w:hint="default" w:ascii="Tahoma" w:hAnsi="Tahoma" w:cs="Tahoma"/>
      <w:color w:val="000000"/>
      <w:sz w:val="24"/>
      <w:szCs w:val="24"/>
    </w:rPr>
  </w:style>
  <w:style w:type="character" w:customStyle="1" w:styleId="15">
    <w:name w:val="16"/>
    <w:basedOn w:val="7"/>
    <w:autoRedefine/>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2547</Words>
  <Characters>2740</Characters>
  <Lines>48</Lines>
  <Paragraphs>13</Paragraphs>
  <TotalTime>7</TotalTime>
  <ScaleCrop>false</ScaleCrop>
  <LinksUpToDate>false</LinksUpToDate>
  <CharactersWithSpaces>2786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沈祥喜</cp:lastModifiedBy>
  <cp:lastPrinted>2019-12-06T00:24:00Z</cp:lastPrinted>
  <dcterms:modified xsi:type="dcterms:W3CDTF">2024-07-11T00:58:04Z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4FBF1F676A7F481CACDCD5E02A86F0C3_13</vt:lpwstr>
  </property>
</Properties>
</file>